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2020-001282 Acumulado al 2020-625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B62665">
        <w:rPr>
          <w:rFonts w:ascii="Arial" w:hAnsi="Arial" w:cs="Arial"/>
          <w:b/>
          <w:sz w:val="26"/>
          <w:szCs w:val="26"/>
        </w:rPr>
        <w:t>DÍA DE CHOCONTÁ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D46AE1">
        <w:rPr>
          <w:rFonts w:ascii="Arial" w:hAnsi="Arial" w:cs="Arial"/>
          <w:b/>
          <w:sz w:val="26"/>
          <w:szCs w:val="26"/>
        </w:rPr>
        <w:t>: DECRETO 030 DEL 27</w:t>
      </w:r>
      <w:r w:rsidR="002D6D03">
        <w:rPr>
          <w:rFonts w:ascii="Arial" w:hAnsi="Arial" w:cs="Arial"/>
          <w:b/>
          <w:sz w:val="26"/>
          <w:szCs w:val="26"/>
        </w:rPr>
        <w:t xml:space="preserve"> DE ABRIL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D46AE1">
        <w:rPr>
          <w:rStyle w:val="Textoennegrita"/>
          <w:rFonts w:ascii="Arial" w:hAnsi="Arial" w:cs="Arial"/>
          <w:color w:val="000000"/>
          <w:sz w:val="26"/>
          <w:szCs w:val="26"/>
        </w:rPr>
        <w:t>12</w:t>
      </w:r>
      <w:r w:rsidR="00A7710F"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mayo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D46AE1">
        <w:rPr>
          <w:rFonts w:ascii="Arial" w:hAnsi="Arial" w:cs="Arial"/>
          <w:color w:val="000000"/>
          <w:sz w:val="26"/>
          <w:szCs w:val="26"/>
        </w:rPr>
        <w:t xml:space="preserve"> la providencia del 11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D46AE1">
        <w:rPr>
          <w:rFonts w:ascii="Arial" w:hAnsi="Arial" w:cs="Arial"/>
          <w:color w:val="000000"/>
          <w:sz w:val="26"/>
          <w:szCs w:val="26"/>
        </w:rPr>
        <w:t>mayo</w:t>
      </w:r>
      <w:bookmarkStart w:id="0" w:name="_GoBack"/>
      <w:bookmarkEnd w:id="0"/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D6D03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4461C"/>
    <w:rsid w:val="00892E2D"/>
    <w:rsid w:val="008F506F"/>
    <w:rsid w:val="00910985"/>
    <w:rsid w:val="009F1819"/>
    <w:rsid w:val="009F2B77"/>
    <w:rsid w:val="00A53A9D"/>
    <w:rsid w:val="00A56D67"/>
    <w:rsid w:val="00A7710F"/>
    <w:rsid w:val="00AB32C1"/>
    <w:rsid w:val="00B62665"/>
    <w:rsid w:val="00BC3189"/>
    <w:rsid w:val="00BD155B"/>
    <w:rsid w:val="00C240FE"/>
    <w:rsid w:val="00C41317"/>
    <w:rsid w:val="00CF6086"/>
    <w:rsid w:val="00D46AE1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3A45A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2020-05-12T20:28:00Z</dcterms:created>
  <dcterms:modified xsi:type="dcterms:W3CDTF">2020-05-12T20:29:00Z</dcterms:modified>
</cp:coreProperties>
</file>